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9D" w:rsidRPr="003744EE" w:rsidRDefault="0051659D" w:rsidP="0051659D">
      <w:pPr>
        <w:pStyle w:val="2"/>
        <w:ind w:left="0"/>
        <w:rPr>
          <w:sz w:val="28"/>
        </w:rPr>
      </w:pPr>
      <w:bookmarkStart w:id="0" w:name="_Toc430548413"/>
      <w:r w:rsidRPr="003744EE">
        <w:rPr>
          <w:sz w:val="28"/>
        </w:rPr>
        <w:t>План финансово-хозяйственной деятельности на 201</w:t>
      </w:r>
      <w:r>
        <w:rPr>
          <w:sz w:val="28"/>
        </w:rPr>
        <w:t>4</w:t>
      </w:r>
      <w:r w:rsidRPr="003744EE">
        <w:rPr>
          <w:sz w:val="28"/>
        </w:rPr>
        <w:t>-201</w:t>
      </w:r>
      <w:r>
        <w:rPr>
          <w:sz w:val="28"/>
        </w:rPr>
        <w:t>5</w:t>
      </w:r>
      <w:r w:rsidRPr="003744EE">
        <w:rPr>
          <w:sz w:val="28"/>
        </w:rPr>
        <w:t xml:space="preserve"> учебный год</w:t>
      </w:r>
      <w:bookmarkEnd w:id="0"/>
    </w:p>
    <w:p w:rsidR="0051659D" w:rsidRPr="00630487" w:rsidRDefault="0051659D" w:rsidP="0051659D"/>
    <w:tbl>
      <w:tblPr>
        <w:tblW w:w="5000" w:type="pct"/>
        <w:tblLook w:val="00A0"/>
      </w:tblPr>
      <w:tblGrid>
        <w:gridCol w:w="52"/>
        <w:gridCol w:w="3600"/>
        <w:gridCol w:w="1309"/>
        <w:gridCol w:w="4609"/>
      </w:tblGrid>
      <w:tr w:rsidR="0051659D" w:rsidRPr="005779F3" w:rsidTr="003E345A">
        <w:trPr>
          <w:trHeight w:val="992"/>
        </w:trPr>
        <w:tc>
          <w:tcPr>
            <w:tcW w:w="1908" w:type="pct"/>
            <w:gridSpan w:val="2"/>
          </w:tcPr>
          <w:p w:rsidR="0051659D" w:rsidRPr="00F63C1F" w:rsidRDefault="0051659D" w:rsidP="003E345A">
            <w:pPr>
              <w:spacing w:after="0" w:line="240" w:lineRule="auto"/>
              <w:rPr>
                <w:rFonts w:ascii="Times New Roman" w:hAnsi="Times New Roman"/>
                <w:b/>
                <w:bCs/>
                <w:sz w:val="24"/>
                <w:szCs w:val="24"/>
                <w:lang w:eastAsia="ru-RU"/>
              </w:rPr>
            </w:pPr>
            <w:r w:rsidRPr="00F63C1F">
              <w:rPr>
                <w:rFonts w:ascii="Times New Roman" w:hAnsi="Times New Roman"/>
                <w:b/>
                <w:bCs/>
                <w:sz w:val="24"/>
                <w:szCs w:val="24"/>
                <w:lang w:eastAsia="ru-RU"/>
              </w:rPr>
              <w:t>Наименование  областного государственного учреждения:</w:t>
            </w:r>
          </w:p>
        </w:tc>
        <w:tc>
          <w:tcPr>
            <w:tcW w:w="3092" w:type="pct"/>
            <w:gridSpan w:val="2"/>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Областное государственное бюджетное общеобразовательное учреждение Кадетская школа-интернат "Северский кадетский корпус"</w:t>
            </w:r>
          </w:p>
        </w:tc>
      </w:tr>
      <w:tr w:rsidR="0051659D" w:rsidRPr="005779F3" w:rsidTr="003E345A">
        <w:trPr>
          <w:trHeight w:val="435"/>
        </w:trPr>
        <w:tc>
          <w:tcPr>
            <w:tcW w:w="1908" w:type="pct"/>
            <w:gridSpan w:val="2"/>
          </w:tcPr>
          <w:p w:rsidR="0051659D" w:rsidRPr="00F63C1F" w:rsidRDefault="0051659D" w:rsidP="003E345A">
            <w:pPr>
              <w:spacing w:after="0" w:line="240" w:lineRule="auto"/>
              <w:rPr>
                <w:rFonts w:ascii="Times New Roman" w:hAnsi="Times New Roman"/>
                <w:b/>
                <w:bCs/>
                <w:sz w:val="24"/>
                <w:szCs w:val="24"/>
                <w:lang w:eastAsia="ru-RU"/>
              </w:rPr>
            </w:pPr>
            <w:r w:rsidRPr="00F63C1F">
              <w:rPr>
                <w:rFonts w:ascii="Times New Roman" w:hAnsi="Times New Roman"/>
                <w:b/>
                <w:bCs/>
                <w:sz w:val="24"/>
                <w:szCs w:val="24"/>
                <w:lang w:eastAsia="ru-RU"/>
              </w:rPr>
              <w:t>ИНН / КПП:</w:t>
            </w:r>
          </w:p>
        </w:tc>
        <w:tc>
          <w:tcPr>
            <w:tcW w:w="3092" w:type="pct"/>
            <w:gridSpan w:val="2"/>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7024023546/702401001</w:t>
            </w:r>
          </w:p>
        </w:tc>
      </w:tr>
      <w:tr w:rsidR="0051659D" w:rsidRPr="005779F3" w:rsidTr="003E345A">
        <w:trPr>
          <w:trHeight w:val="971"/>
        </w:trPr>
        <w:tc>
          <w:tcPr>
            <w:tcW w:w="1908" w:type="pct"/>
            <w:gridSpan w:val="2"/>
          </w:tcPr>
          <w:p w:rsidR="0051659D" w:rsidRPr="00F63C1F" w:rsidRDefault="0051659D" w:rsidP="003E345A">
            <w:pPr>
              <w:spacing w:after="0" w:line="240" w:lineRule="auto"/>
              <w:rPr>
                <w:rFonts w:ascii="Times New Roman" w:hAnsi="Times New Roman"/>
                <w:b/>
                <w:bCs/>
                <w:sz w:val="24"/>
                <w:szCs w:val="24"/>
                <w:lang w:eastAsia="ru-RU"/>
              </w:rPr>
            </w:pPr>
            <w:r w:rsidRPr="00F63C1F">
              <w:rPr>
                <w:rFonts w:ascii="Times New Roman" w:hAnsi="Times New Roman"/>
                <w:b/>
                <w:bCs/>
                <w:sz w:val="24"/>
                <w:szCs w:val="24"/>
                <w:lang w:eastAsia="ru-RU"/>
              </w:rPr>
              <w:t>Наименование органа, осуществляющего функции и полномочия учредителя</w:t>
            </w:r>
          </w:p>
        </w:tc>
        <w:tc>
          <w:tcPr>
            <w:tcW w:w="3092" w:type="pct"/>
            <w:gridSpan w:val="2"/>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Департамент общего образования Томской области</w:t>
            </w:r>
          </w:p>
        </w:tc>
      </w:tr>
      <w:tr w:rsidR="0051659D" w:rsidRPr="005779F3" w:rsidTr="003E345A">
        <w:trPr>
          <w:trHeight w:val="998"/>
        </w:trPr>
        <w:tc>
          <w:tcPr>
            <w:tcW w:w="1908" w:type="pct"/>
            <w:gridSpan w:val="2"/>
          </w:tcPr>
          <w:p w:rsidR="0051659D" w:rsidRPr="00F63C1F" w:rsidRDefault="0051659D" w:rsidP="003E345A">
            <w:pPr>
              <w:spacing w:after="0" w:line="240" w:lineRule="auto"/>
              <w:rPr>
                <w:rFonts w:ascii="Times New Roman" w:hAnsi="Times New Roman"/>
                <w:b/>
                <w:bCs/>
                <w:sz w:val="24"/>
                <w:szCs w:val="24"/>
                <w:lang w:eastAsia="ru-RU"/>
              </w:rPr>
            </w:pPr>
            <w:r w:rsidRPr="00F63C1F">
              <w:rPr>
                <w:rFonts w:ascii="Times New Roman" w:hAnsi="Times New Roman"/>
                <w:b/>
                <w:bCs/>
                <w:sz w:val="24"/>
                <w:szCs w:val="24"/>
                <w:lang w:eastAsia="ru-RU"/>
              </w:rPr>
              <w:t>Адрес фактического местонахождения   областного государственного  учреждения:</w:t>
            </w:r>
          </w:p>
        </w:tc>
        <w:tc>
          <w:tcPr>
            <w:tcW w:w="3092" w:type="pct"/>
            <w:gridSpan w:val="2"/>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 xml:space="preserve">Томская область, г. </w:t>
            </w:r>
            <w:proofErr w:type="spellStart"/>
            <w:r w:rsidRPr="00F63C1F">
              <w:rPr>
                <w:rFonts w:ascii="Times New Roman" w:hAnsi="Times New Roman"/>
                <w:sz w:val="24"/>
                <w:szCs w:val="24"/>
                <w:lang w:eastAsia="ru-RU"/>
              </w:rPr>
              <w:t>Северск</w:t>
            </w:r>
            <w:proofErr w:type="spellEnd"/>
            <w:r w:rsidRPr="00F63C1F">
              <w:rPr>
                <w:rFonts w:ascii="Times New Roman" w:hAnsi="Times New Roman"/>
                <w:sz w:val="24"/>
                <w:szCs w:val="24"/>
                <w:lang w:eastAsia="ru-RU"/>
              </w:rPr>
              <w:t>, ул</w:t>
            </w:r>
            <w:proofErr w:type="gramStart"/>
            <w:r w:rsidRPr="00F63C1F">
              <w:rPr>
                <w:rFonts w:ascii="Times New Roman" w:hAnsi="Times New Roman"/>
                <w:sz w:val="24"/>
                <w:szCs w:val="24"/>
                <w:lang w:eastAsia="ru-RU"/>
              </w:rPr>
              <w:t>.С</w:t>
            </w:r>
            <w:proofErr w:type="gramEnd"/>
            <w:r w:rsidRPr="00F63C1F">
              <w:rPr>
                <w:rFonts w:ascii="Times New Roman" w:hAnsi="Times New Roman"/>
                <w:sz w:val="24"/>
                <w:szCs w:val="24"/>
                <w:lang w:eastAsia="ru-RU"/>
              </w:rPr>
              <w:t>лавского,32</w:t>
            </w:r>
          </w:p>
        </w:tc>
      </w:tr>
      <w:tr w:rsidR="0051659D" w:rsidRPr="005779F3" w:rsidTr="003E345A">
        <w:trPr>
          <w:gridAfter w:val="1"/>
          <w:wAfter w:w="2408" w:type="pct"/>
          <w:trHeight w:val="435"/>
        </w:trPr>
        <w:tc>
          <w:tcPr>
            <w:tcW w:w="1908" w:type="pct"/>
            <w:gridSpan w:val="2"/>
          </w:tcPr>
          <w:p w:rsidR="0051659D" w:rsidRPr="00F63C1F" w:rsidRDefault="0051659D" w:rsidP="003E345A">
            <w:pPr>
              <w:spacing w:after="0" w:line="240" w:lineRule="auto"/>
              <w:rPr>
                <w:rFonts w:ascii="Times New Roman" w:hAnsi="Times New Roman"/>
                <w:b/>
                <w:bCs/>
                <w:sz w:val="24"/>
                <w:szCs w:val="24"/>
                <w:lang w:eastAsia="ru-RU"/>
              </w:rPr>
            </w:pPr>
            <w:r w:rsidRPr="00F63C1F">
              <w:rPr>
                <w:rFonts w:ascii="Times New Roman" w:hAnsi="Times New Roman"/>
                <w:b/>
                <w:bCs/>
                <w:sz w:val="24"/>
                <w:szCs w:val="24"/>
                <w:lang w:eastAsia="ru-RU"/>
              </w:rPr>
              <w:t xml:space="preserve">Единица измерения: </w:t>
            </w:r>
            <w:proofErr w:type="spellStart"/>
            <w:r w:rsidRPr="00F63C1F">
              <w:rPr>
                <w:rFonts w:ascii="Times New Roman" w:hAnsi="Times New Roman"/>
                <w:b/>
                <w:bCs/>
                <w:sz w:val="24"/>
                <w:szCs w:val="24"/>
                <w:lang w:eastAsia="ru-RU"/>
              </w:rPr>
              <w:t>руб</w:t>
            </w:r>
            <w:proofErr w:type="spellEnd"/>
          </w:p>
        </w:tc>
        <w:tc>
          <w:tcPr>
            <w:tcW w:w="684" w:type="pct"/>
          </w:tcPr>
          <w:p w:rsidR="0051659D" w:rsidRPr="00F63C1F" w:rsidRDefault="0051659D" w:rsidP="003E345A">
            <w:pPr>
              <w:spacing w:after="0" w:line="240" w:lineRule="auto"/>
              <w:rPr>
                <w:rFonts w:ascii="Times New Roman" w:hAnsi="Times New Roman"/>
                <w:sz w:val="24"/>
                <w:szCs w:val="24"/>
                <w:lang w:eastAsia="ru-RU"/>
              </w:rPr>
            </w:pPr>
          </w:p>
        </w:tc>
      </w:tr>
      <w:tr w:rsidR="0051659D" w:rsidRPr="005779F3" w:rsidTr="003E345A">
        <w:trPr>
          <w:gridBefore w:val="1"/>
          <w:wBefore w:w="27" w:type="pct"/>
          <w:trHeight w:val="410"/>
        </w:trPr>
        <w:tc>
          <w:tcPr>
            <w:tcW w:w="4973" w:type="pct"/>
            <w:gridSpan w:val="3"/>
          </w:tcPr>
          <w:p w:rsidR="0051659D" w:rsidRPr="00F63C1F" w:rsidRDefault="0051659D" w:rsidP="003E345A">
            <w:pPr>
              <w:spacing w:after="0" w:line="240" w:lineRule="auto"/>
              <w:jc w:val="center"/>
              <w:rPr>
                <w:rFonts w:ascii="Times New Roman" w:hAnsi="Times New Roman"/>
                <w:b/>
                <w:bCs/>
                <w:sz w:val="24"/>
                <w:szCs w:val="24"/>
                <w:lang w:eastAsia="ru-RU"/>
              </w:rPr>
            </w:pPr>
            <w:r w:rsidRPr="00F63C1F">
              <w:rPr>
                <w:rFonts w:ascii="Times New Roman" w:hAnsi="Times New Roman"/>
                <w:b/>
                <w:bCs/>
                <w:sz w:val="24"/>
                <w:szCs w:val="24"/>
                <w:lang w:eastAsia="ru-RU"/>
              </w:rPr>
              <w:t>I.  Сведения о деятельности  областного государственного  учреждения</w:t>
            </w:r>
          </w:p>
        </w:tc>
      </w:tr>
      <w:tr w:rsidR="0051659D" w:rsidRPr="005779F3" w:rsidTr="003E345A">
        <w:trPr>
          <w:gridBefore w:val="1"/>
          <w:wBefore w:w="27" w:type="pct"/>
          <w:trHeight w:val="1620"/>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 xml:space="preserve">1.1. </w:t>
            </w:r>
            <w:proofErr w:type="gramStart"/>
            <w:r w:rsidRPr="00F63C1F">
              <w:rPr>
                <w:rFonts w:ascii="Times New Roman" w:hAnsi="Times New Roman"/>
                <w:sz w:val="24"/>
                <w:szCs w:val="24"/>
                <w:lang w:eastAsia="ru-RU"/>
              </w:rPr>
              <w:t xml:space="preserve">Цели деятельности областного государственного учреждения: интеллектуальное, культурное, физическое и нравственное развитие обучающихся, их адаптация к жизни в обществе, создание основы для подготовки несовершеннолетних граждан к служению Отечеству на поприще государственной, гражданской, военной, правоохранительной службы, муниципальной службы, а также несению государственной службы российского казачества, и в соответствии с профилем деятельности Учредителя кадетской школы-интерната </w:t>
            </w:r>
            <w:proofErr w:type="gramEnd"/>
          </w:p>
        </w:tc>
      </w:tr>
      <w:tr w:rsidR="0051659D" w:rsidRPr="005779F3" w:rsidTr="003E345A">
        <w:trPr>
          <w:gridBefore w:val="1"/>
          <w:wBefore w:w="27" w:type="pct"/>
          <w:trHeight w:val="1530"/>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 xml:space="preserve">1.2. Виды деятельности  государственного  учреждения: </w:t>
            </w:r>
            <w:proofErr w:type="gramStart"/>
            <w:r w:rsidRPr="00F63C1F">
              <w:rPr>
                <w:rFonts w:ascii="Times New Roman" w:hAnsi="Times New Roman"/>
                <w:sz w:val="24"/>
                <w:szCs w:val="24"/>
                <w:lang w:eastAsia="ru-RU"/>
              </w:rPr>
              <w:t>-о</w:t>
            </w:r>
            <w:proofErr w:type="gramEnd"/>
            <w:r w:rsidRPr="00F63C1F">
              <w:rPr>
                <w:rFonts w:ascii="Times New Roman" w:hAnsi="Times New Roman"/>
                <w:sz w:val="24"/>
                <w:szCs w:val="24"/>
                <w:lang w:eastAsia="ru-RU"/>
              </w:rPr>
              <w:t xml:space="preserve">бразовательная деятельность по программам основного, общего, среднего (полного) общего образования; - реализация программ дополнительного образования, в том числе имеющих целью военную подготовку </w:t>
            </w:r>
            <w:proofErr w:type="spellStart"/>
            <w:r w:rsidRPr="00F63C1F">
              <w:rPr>
                <w:rFonts w:ascii="Times New Roman" w:hAnsi="Times New Roman"/>
                <w:sz w:val="24"/>
                <w:szCs w:val="24"/>
                <w:lang w:eastAsia="ru-RU"/>
              </w:rPr>
              <w:t>несовершененолетних</w:t>
            </w:r>
            <w:proofErr w:type="spellEnd"/>
            <w:r w:rsidRPr="00F63C1F">
              <w:rPr>
                <w:rFonts w:ascii="Times New Roman" w:hAnsi="Times New Roman"/>
                <w:sz w:val="24"/>
                <w:szCs w:val="24"/>
                <w:lang w:eastAsia="ru-RU"/>
              </w:rPr>
              <w:t xml:space="preserve"> граждан; -медицинская деятельность, связанная с оказанием услуг по доврачебной, амбулаторно-поликлинической медицинской помощи по педиатрии</w:t>
            </w:r>
          </w:p>
        </w:tc>
      </w:tr>
      <w:tr w:rsidR="0051659D" w:rsidRPr="005779F3" w:rsidTr="003E345A">
        <w:trPr>
          <w:gridBefore w:val="1"/>
          <w:wBefore w:w="27" w:type="pct"/>
          <w:trHeight w:val="375"/>
        </w:trPr>
        <w:tc>
          <w:tcPr>
            <w:tcW w:w="4973" w:type="pct"/>
            <w:gridSpan w:val="3"/>
          </w:tcPr>
          <w:p w:rsidR="0051659D" w:rsidRPr="00F63C1F" w:rsidRDefault="0051659D" w:rsidP="003E345A">
            <w:pPr>
              <w:spacing w:after="0" w:line="240" w:lineRule="auto"/>
              <w:jc w:val="center"/>
              <w:rPr>
                <w:rFonts w:ascii="Times New Roman" w:hAnsi="Times New Roman"/>
                <w:sz w:val="24"/>
                <w:szCs w:val="24"/>
                <w:lang w:eastAsia="ru-RU"/>
              </w:rPr>
            </w:pPr>
          </w:p>
        </w:tc>
      </w:tr>
      <w:tr w:rsidR="0051659D" w:rsidRPr="005779F3" w:rsidTr="003E345A">
        <w:trPr>
          <w:gridBefore w:val="1"/>
          <w:wBefore w:w="27" w:type="pct"/>
          <w:trHeight w:val="220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 xml:space="preserve">1.3. </w:t>
            </w:r>
            <w:proofErr w:type="gramStart"/>
            <w:r w:rsidRPr="00F63C1F">
              <w:rPr>
                <w:rFonts w:ascii="Times New Roman" w:hAnsi="Times New Roman"/>
                <w:sz w:val="24"/>
                <w:szCs w:val="24"/>
                <w:lang w:eastAsia="ru-RU"/>
              </w:rPr>
              <w:t>Перечень услуг (работ), осуществляемых в соответствии с государственным заданием: 1."Предоставление начального общего, основного общего, среднего (полного) общего, а также дополнительного образования" 2."Социальная поддержка во время прохождения обучения по общеобразовательным программам начального общего, основного общего, среднего (полного) общего  образования в кадетских школах-интернатах" 3."Социальная поддержка во время прохождения обучения по общеобразовательным программам дошкольного, начального общего, основного общего, среднего (полного</w:t>
            </w:r>
            <w:proofErr w:type="gramEnd"/>
            <w:r w:rsidRPr="00F63C1F">
              <w:rPr>
                <w:rFonts w:ascii="Times New Roman" w:hAnsi="Times New Roman"/>
                <w:sz w:val="24"/>
                <w:szCs w:val="24"/>
                <w:lang w:eastAsia="ru-RU"/>
              </w:rPr>
              <w:t>) общего  образования"</w:t>
            </w:r>
          </w:p>
        </w:tc>
      </w:tr>
      <w:tr w:rsidR="0051659D" w:rsidRPr="005779F3" w:rsidTr="003E345A">
        <w:trPr>
          <w:gridBefore w:val="1"/>
          <w:wBefore w:w="27" w:type="pct"/>
          <w:trHeight w:val="37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p>
        </w:tc>
      </w:tr>
      <w:tr w:rsidR="0051659D" w:rsidRPr="005779F3" w:rsidTr="003E345A">
        <w:trPr>
          <w:gridBefore w:val="1"/>
          <w:wBefore w:w="27" w:type="pct"/>
          <w:trHeight w:val="810"/>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1.4. Перечень услуг (работ), осуществляемых на платной основе: - платные дополнительные образовательные услуги,</w:t>
            </w:r>
            <w:r w:rsidRPr="00F63C1F">
              <w:rPr>
                <w:rFonts w:ascii="Times New Roman" w:hAnsi="Times New Roman"/>
                <w:sz w:val="24"/>
                <w:szCs w:val="24"/>
                <w:lang w:eastAsia="ru-RU"/>
              </w:rPr>
              <w:br/>
              <w:t>сдача в аренду помещений Бюджетного учреждения в соответствии с законодательством.</w:t>
            </w:r>
          </w:p>
        </w:tc>
      </w:tr>
      <w:tr w:rsidR="0051659D" w:rsidRPr="005779F3" w:rsidTr="003E345A">
        <w:trPr>
          <w:gridBefore w:val="1"/>
          <w:wBefore w:w="27" w:type="pct"/>
          <w:trHeight w:val="37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p>
        </w:tc>
      </w:tr>
      <w:tr w:rsidR="0051659D" w:rsidRPr="005779F3" w:rsidTr="003E345A">
        <w:trPr>
          <w:gridBefore w:val="1"/>
          <w:wBefore w:w="27" w:type="pct"/>
          <w:trHeight w:val="211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lastRenderedPageBreak/>
              <w:t xml:space="preserve">1.5. Общая балансовая стоимость недвижимого государственного имущества на дату составления Плана  финансовой хозяйственной деятельности  областного государственного учреждения (в разрезе стоимости имущества, закрепленного собственником имущества за  областным государственным  бюджетным учреждением на праве оперативного управления; приобретенного областным государственным  бюджетным учреждением за счет выделенных собственником имущества учреждения средств; </w:t>
            </w:r>
            <w:proofErr w:type="gramStart"/>
            <w:r w:rsidRPr="00F63C1F">
              <w:rPr>
                <w:rFonts w:ascii="Times New Roman" w:hAnsi="Times New Roman"/>
                <w:sz w:val="24"/>
                <w:szCs w:val="24"/>
                <w:lang w:eastAsia="ru-RU"/>
              </w:rPr>
              <w:t>приобретенного</w:t>
            </w:r>
            <w:proofErr w:type="gramEnd"/>
            <w:r w:rsidRPr="00F63C1F">
              <w:rPr>
                <w:rFonts w:ascii="Times New Roman" w:hAnsi="Times New Roman"/>
                <w:sz w:val="24"/>
                <w:szCs w:val="24"/>
                <w:lang w:eastAsia="ru-RU"/>
              </w:rPr>
              <w:t xml:space="preserve">  областным государственным бюджетным учреждением за счет доходов, полученных от иной, приносящей доход деятельности): 42 350 380,35 руб.</w:t>
            </w:r>
          </w:p>
        </w:tc>
      </w:tr>
      <w:tr w:rsidR="0051659D" w:rsidRPr="005779F3" w:rsidTr="003E345A">
        <w:trPr>
          <w:gridBefore w:val="1"/>
          <w:wBefore w:w="27" w:type="pct"/>
          <w:trHeight w:val="37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p>
        </w:tc>
      </w:tr>
      <w:tr w:rsidR="0051659D" w:rsidRPr="005779F3" w:rsidTr="003E345A">
        <w:trPr>
          <w:gridBefore w:val="1"/>
          <w:wBefore w:w="27" w:type="pct"/>
          <w:trHeight w:val="1155"/>
        </w:trPr>
        <w:tc>
          <w:tcPr>
            <w:tcW w:w="4973" w:type="pct"/>
            <w:gridSpan w:val="3"/>
          </w:tcPr>
          <w:p w:rsidR="0051659D" w:rsidRPr="00F63C1F" w:rsidRDefault="0051659D" w:rsidP="003E345A">
            <w:pPr>
              <w:spacing w:after="0" w:line="240" w:lineRule="auto"/>
              <w:rPr>
                <w:rFonts w:ascii="Times New Roman" w:hAnsi="Times New Roman"/>
                <w:sz w:val="24"/>
                <w:szCs w:val="24"/>
                <w:lang w:eastAsia="ru-RU"/>
              </w:rPr>
            </w:pPr>
            <w:r w:rsidRPr="00F63C1F">
              <w:rPr>
                <w:rFonts w:ascii="Times New Roman" w:hAnsi="Times New Roman"/>
                <w:sz w:val="24"/>
                <w:szCs w:val="24"/>
                <w:lang w:eastAsia="ru-RU"/>
              </w:rPr>
              <w:t>1.6. Общая балансовая стоимость движимого государственного имущества на дату составления Плана финансовой хозяйственной деятельности областного государственного  учреждения: 11 946 236,92 руб.</w:t>
            </w:r>
          </w:p>
        </w:tc>
      </w:tr>
    </w:tbl>
    <w:p w:rsidR="0051659D" w:rsidRPr="00630487" w:rsidRDefault="0051659D" w:rsidP="0051659D">
      <w:pPr>
        <w:rPr>
          <w:rFonts w:ascii="Times New Roman" w:hAnsi="Times New Roman"/>
          <w:b/>
        </w:rPr>
      </w:pPr>
      <w:hyperlink r:id="rId4" w:history="1">
        <w:r w:rsidRPr="00630487">
          <w:rPr>
            <w:rStyle w:val="a3"/>
            <w:rFonts w:ascii="Times New Roman" w:hAnsi="Times New Roman"/>
            <w:b/>
          </w:rPr>
          <w:t>Полный текст плана финансово-хозяйственной деятельности</w:t>
        </w:r>
      </w:hyperlink>
      <w:r>
        <w:t xml:space="preserve"> (</w:t>
      </w:r>
      <w:r w:rsidRPr="00272F5A">
        <w:t>http://skk.tomsk.ru/files/Plan_FHD_budjetnogo_uchr-ya_pravil_nyj_2012.xls</w:t>
      </w:r>
      <w:r>
        <w:t>)</w:t>
      </w:r>
    </w:p>
    <w:p w:rsidR="006E066C" w:rsidRDefault="006E066C"/>
    <w:sectPr w:rsidR="006E066C" w:rsidSect="00AE2A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59D"/>
    <w:rsid w:val="00095445"/>
    <w:rsid w:val="003708F0"/>
    <w:rsid w:val="0051659D"/>
    <w:rsid w:val="005D0B40"/>
    <w:rsid w:val="006E066C"/>
    <w:rsid w:val="00700D09"/>
    <w:rsid w:val="00B9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9D"/>
    <w:rPr>
      <w:rFonts w:ascii="Calibri" w:eastAsia="Calibri" w:hAnsi="Calibri" w:cs="Times New Roman"/>
    </w:rPr>
  </w:style>
  <w:style w:type="paragraph" w:styleId="2">
    <w:name w:val="heading 2"/>
    <w:basedOn w:val="a"/>
    <w:next w:val="a"/>
    <w:link w:val="20"/>
    <w:uiPriority w:val="9"/>
    <w:qFormat/>
    <w:rsid w:val="0051659D"/>
    <w:pPr>
      <w:keepNext/>
      <w:spacing w:after="0" w:line="240" w:lineRule="auto"/>
      <w:ind w:left="-426"/>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59D"/>
    <w:rPr>
      <w:rFonts w:ascii="Times New Roman" w:eastAsia="Times New Roman" w:hAnsi="Times New Roman" w:cs="Times New Roman"/>
      <w:b/>
      <w:sz w:val="24"/>
      <w:szCs w:val="20"/>
    </w:rPr>
  </w:style>
  <w:style w:type="character" w:styleId="a3">
    <w:name w:val="Hyperlink"/>
    <w:basedOn w:val="a0"/>
    <w:uiPriority w:val="99"/>
    <w:rsid w:val="005165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tomsk.ru/files/Plan_FHD_budjetnogo_uchr-ya_pravil_nyj_2012.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cp:revision>
  <dcterms:created xsi:type="dcterms:W3CDTF">2015-09-21T04:54:00Z</dcterms:created>
  <dcterms:modified xsi:type="dcterms:W3CDTF">2015-09-21T04:55:00Z</dcterms:modified>
</cp:coreProperties>
</file>